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1D0D0B2B" w:rsidR="001F4D61" w:rsidRPr="00E67F67" w:rsidRDefault="00DF596E" w:rsidP="005A5922">
      <w:pPr>
        <w:pStyle w:val="Titreconsultation"/>
        <w:tabs>
          <w:tab w:val="clear" w:pos="9070"/>
          <w:tab w:val="right" w:pos="9639"/>
        </w:tabs>
        <w:rPr>
          <w:sz w:val="22"/>
        </w:rPr>
      </w:pPr>
      <w:r>
        <w:rPr>
          <w:sz w:val="48"/>
        </w:rPr>
        <w:br/>
      </w:r>
      <w:r w:rsidR="00976924">
        <w:rPr>
          <w:sz w:val="48"/>
        </w:rPr>
        <w:t>Cadre de r</w:t>
      </w:r>
      <w:r w:rsidR="0099365B">
        <w:rPr>
          <w:sz w:val="48"/>
        </w:rPr>
        <w:t>É</w:t>
      </w:r>
      <w:r w:rsidR="004C797C">
        <w:rPr>
          <w:sz w:val="48"/>
        </w:rPr>
        <w:t>PONSE</w:t>
      </w:r>
      <w:r w:rsidR="005A5922">
        <w:rPr>
          <w:sz w:val="48"/>
        </w:rPr>
        <w:br/>
      </w:r>
      <w:r w:rsidR="00EF0351" w:rsidRPr="00EF0351">
        <w:rPr>
          <w:b w:val="0"/>
          <w:caps w:val="0"/>
          <w:sz w:val="28"/>
          <w:szCs w:val="28"/>
        </w:rPr>
        <w:t>Prestations d’audit de systèmes d’information d’opérateurs de réseaux fixes en France</w:t>
      </w:r>
      <w:r w:rsidR="00D0653F">
        <w:br/>
      </w:r>
      <w:r w:rsidR="005A5922">
        <w:rPr>
          <w:sz w:val="20"/>
          <w:szCs w:val="20"/>
        </w:rPr>
        <w:br/>
      </w:r>
      <w:r w:rsidR="005A5922">
        <w:rPr>
          <w:sz w:val="20"/>
          <w:szCs w:val="20"/>
        </w:rPr>
        <w:br/>
      </w:r>
      <w:r w:rsidR="005A5922">
        <w:rPr>
          <w:sz w:val="20"/>
          <w:szCs w:val="20"/>
        </w:rPr>
        <w:br/>
      </w:r>
      <w:r w:rsidR="0097483B" w:rsidRPr="0097483B">
        <w:rPr>
          <w:sz w:val="20"/>
          <w:szCs w:val="20"/>
        </w:rPr>
        <w:t>Accord-cadre</w:t>
      </w:r>
      <w:r w:rsidR="005A5922">
        <w:rPr>
          <w:sz w:val="20"/>
          <w:szCs w:val="20"/>
        </w:rPr>
        <w:br/>
      </w:r>
      <w:bookmarkStart w:id="0" w:name="_GoBack"/>
      <w:bookmarkEnd w:id="0"/>
      <w:r w:rsidR="005A5922">
        <w:rPr>
          <w:sz w:val="20"/>
          <w:szCs w:val="20"/>
        </w:rPr>
        <w:br/>
      </w:r>
      <w:r w:rsidR="005A5922">
        <w:rPr>
          <w:sz w:val="20"/>
          <w:szCs w:val="20"/>
        </w:rPr>
        <w:br/>
      </w:r>
      <w:r w:rsidR="00D0653F" w:rsidRPr="005A5922">
        <w:rPr>
          <w:b w:val="0"/>
          <w:sz w:val="20"/>
          <w:szCs w:val="20"/>
        </w:rPr>
        <w:t xml:space="preserve">N/Ref. : </w:t>
      </w:r>
      <w:r w:rsidR="00EF0351">
        <w:rPr>
          <w:b w:val="0"/>
          <w:sz w:val="22"/>
        </w:rPr>
        <w:t>AO_AUDITS_SI_0</w:t>
      </w:r>
      <w:r w:rsidR="00125A37">
        <w:rPr>
          <w:b w:val="0"/>
          <w:sz w:val="22"/>
        </w:rPr>
        <w:t>8</w:t>
      </w:r>
      <w:r w:rsidR="00EF0351">
        <w:rPr>
          <w:b w:val="0"/>
          <w:sz w:val="22"/>
        </w:rPr>
        <w:t>25</w:t>
      </w:r>
      <w:r w:rsidRPr="005A5922">
        <w:rPr>
          <w:b w:val="0"/>
          <w:sz w:val="20"/>
          <w:szCs w:val="20"/>
        </w:rPr>
        <w:br/>
      </w:r>
      <w:r w:rsidR="009C651C" w:rsidRPr="009C651C">
        <w:rPr>
          <w:b w:val="0"/>
          <w:caps w:val="0"/>
          <w:color w:val="auto"/>
          <w:sz w:val="16"/>
          <w:szCs w:val="20"/>
        </w:rPr>
        <w:t>Accord-cadre passé selon la procédure d’appel d’offres ouvert suivant les articles L.2124-2, R.2124-2 1°, L.2125-1 1° et R.2162-1 à R.2162-12 du Code de la commande publique.</w:t>
      </w:r>
      <w:r w:rsidR="00B94BC2">
        <w:rPr>
          <w:b w:val="0"/>
          <w:caps w:val="0"/>
          <w:color w:val="auto"/>
          <w:sz w:val="16"/>
          <w:szCs w:val="20"/>
        </w:rPr>
        <w:br/>
      </w:r>
      <w:r w:rsidR="00D0653F" w:rsidRPr="005A5922">
        <w:rPr>
          <w:bCs/>
          <w:sz w:val="20"/>
          <w:szCs w:val="20"/>
        </w:rPr>
        <w:br/>
      </w:r>
      <w:r w:rsidR="00E67F67" w:rsidRPr="00911277">
        <w:rPr>
          <w:rFonts w:ascii="Now Alt Light" w:hAnsi="Now Alt Light"/>
          <w:b w:val="0"/>
          <w:caps w:val="0"/>
          <w:color w:val="C00000"/>
          <w:sz w:val="32"/>
        </w:rPr>
        <w:t>Date limite de remise des candidatures et des offres :</w:t>
      </w:r>
      <w:r w:rsidR="00E67F67" w:rsidRPr="00911277">
        <w:rPr>
          <w:rFonts w:ascii="Now Alt Light" w:hAnsi="Now Alt Light"/>
          <w:b w:val="0"/>
          <w:caps w:val="0"/>
          <w:color w:val="C00000"/>
          <w:sz w:val="32"/>
        </w:rPr>
        <w:br/>
      </w:r>
      <w:r w:rsidR="0097483B">
        <w:rPr>
          <w:rFonts w:ascii="Now Alt Light" w:hAnsi="Now Alt Light"/>
          <w:caps w:val="0"/>
          <w:color w:val="C00000"/>
          <w:sz w:val="32"/>
        </w:rPr>
        <w:t>Jeudi 25 septembre</w:t>
      </w:r>
      <w:r w:rsidR="00E67F67" w:rsidRPr="00911277">
        <w:rPr>
          <w:rFonts w:ascii="Now Alt Light" w:hAnsi="Now Alt Light"/>
          <w:caps w:val="0"/>
          <w:color w:val="C00000"/>
          <w:sz w:val="32"/>
        </w:rPr>
        <w:t xml:space="preserve"> 202</w:t>
      </w:r>
      <w:r w:rsidR="0097483B">
        <w:rPr>
          <w:rFonts w:ascii="Now Alt Light" w:hAnsi="Now Alt Light"/>
          <w:caps w:val="0"/>
          <w:color w:val="C00000"/>
          <w:sz w:val="32"/>
        </w:rPr>
        <w:t>5</w:t>
      </w:r>
      <w:r w:rsidR="00E67F67" w:rsidRPr="00911277">
        <w:rPr>
          <w:rFonts w:ascii="Now Alt Light" w:hAnsi="Now Alt Light"/>
          <w:caps w:val="0"/>
          <w:color w:val="C00000"/>
          <w:sz w:val="32"/>
        </w:rPr>
        <w:t xml:space="preserve"> </w:t>
      </w:r>
      <w:proofErr w:type="spellStart"/>
      <w:r w:rsidR="00E67F67" w:rsidRPr="00911277">
        <w:rPr>
          <w:rFonts w:ascii="Now Alt Light" w:hAnsi="Now Alt Light"/>
          <w:caps w:val="0"/>
          <w:color w:val="C00000"/>
          <w:sz w:val="32"/>
        </w:rPr>
        <w:t>a</w:t>
      </w:r>
      <w:proofErr w:type="spellEnd"/>
      <w:r w:rsidR="00E67F67" w:rsidRPr="00911277">
        <w:rPr>
          <w:rFonts w:ascii="Now Alt Light" w:hAnsi="Now Alt Light"/>
          <w:caps w:val="0"/>
          <w:color w:val="C00000"/>
          <w:sz w:val="32"/>
        </w:rPr>
        <w:t xml:space="preserve"> </w:t>
      </w:r>
      <w:r w:rsidR="0097483B">
        <w:rPr>
          <w:rFonts w:ascii="Now Alt Light" w:hAnsi="Now Alt Light"/>
          <w:caps w:val="0"/>
          <w:color w:val="C00000"/>
          <w:sz w:val="32"/>
        </w:rPr>
        <w:t>14</w:t>
      </w:r>
      <w:r w:rsidR="00E67F67" w:rsidRPr="00911277">
        <w:rPr>
          <w:rFonts w:ascii="Now Alt Light" w:hAnsi="Now Alt Light"/>
          <w:caps w:val="0"/>
          <w:color w:val="C00000"/>
          <w:sz w:val="32"/>
        </w:rPr>
        <w:t>h00</w:t>
      </w:r>
      <w:r w:rsidR="00E67F67" w:rsidRPr="00911277">
        <w:rPr>
          <w:b w:val="0"/>
          <w:bCs/>
        </w:rPr>
        <w:br/>
      </w:r>
      <w:r w:rsidR="00E67F67">
        <w:rPr>
          <w:sz w:val="22"/>
        </w:rPr>
        <w:br/>
      </w:r>
      <w:r w:rsidR="00284924">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43073201" w14:textId="06163572" w:rsidR="00284924" w:rsidRPr="00284924" w:rsidRDefault="001F4D61" w:rsidP="00284924">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 xml:space="preserve">14 rue </w:t>
      </w:r>
      <w:proofErr w:type="spellStart"/>
      <w:r w:rsidRPr="00324CD6">
        <w:rPr>
          <w:rFonts w:ascii="Now Alt Light" w:hAnsi="Now Alt Light"/>
          <w:snapToGrid w:val="0"/>
          <w:sz w:val="18"/>
        </w:rPr>
        <w:t>Gerty</w:t>
      </w:r>
      <w:proofErr w:type="spellEnd"/>
      <w:r w:rsidRPr="00324CD6">
        <w:rPr>
          <w:rFonts w:ascii="Now Alt Light" w:hAnsi="Now Alt Light"/>
          <w:snapToGrid w:val="0"/>
          <w:sz w:val="18"/>
        </w:rPr>
        <w:t xml:space="preserve">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284924" w:rsidRPr="004C452A">
          <w:rPr>
            <w:rStyle w:val="Lienhypertexte"/>
            <w:rFonts w:ascii="Now Alt Light" w:hAnsi="Now Alt Light"/>
            <w:sz w:val="18"/>
          </w:rPr>
          <w:t>https://www.arcep.fr</w:t>
        </w:r>
      </w:hyperlink>
    </w:p>
    <w:p w14:paraId="5AD9929D" w14:textId="18721F4E" w:rsidR="001F4D6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w:t>
      </w:r>
    </w:p>
    <w:p w14:paraId="1A7FB9C0" w14:textId="67DA8A31"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508B2A94" w:rsidR="00274FCB" w:rsidRPr="00576F19" w:rsidRDefault="003B7E1E" w:rsidP="0063787F">
      <w:pPr>
        <w:rPr>
          <w:b/>
          <w:szCs w:val="22"/>
        </w:rPr>
      </w:pPr>
      <w:r>
        <w:rPr>
          <w:b/>
          <w:szCs w:val="22"/>
          <w:highlight w:val="yellow"/>
        </w:rPr>
        <w:t xml:space="preserve">ATTENTION ! </w:t>
      </w:r>
      <w:r w:rsidR="00576F19" w:rsidRPr="003B7E1E">
        <w:rPr>
          <w:b/>
          <w:szCs w:val="22"/>
          <w:highlight w:val="yellow"/>
        </w:rPr>
        <w:t xml:space="preserve">La remise du présent cadre de réponse n’exonère pas le candidat de la remise de son </w:t>
      </w:r>
      <w:r w:rsidR="00576F19" w:rsidRPr="00C51184">
        <w:rPr>
          <w:b/>
          <w:szCs w:val="22"/>
          <w:highlight w:val="yellow"/>
          <w:u w:val="single"/>
        </w:rPr>
        <w:t>mémoire technique</w:t>
      </w:r>
      <w:r w:rsidR="00576F19" w:rsidRPr="003B7E1E">
        <w:rPr>
          <w:b/>
          <w:szCs w:val="22"/>
          <w:highlight w:val="yellow"/>
        </w:rPr>
        <w:t>.</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5B5FC10F" w:rsidR="00B03433" w:rsidRPr="00B767C5" w:rsidRDefault="00B03433" w:rsidP="00826E4D">
      <w:pPr>
        <w:pStyle w:val="Titre1"/>
        <w:numPr>
          <w:ilvl w:val="0"/>
          <w:numId w:val="0"/>
        </w:numPr>
        <w:ind w:left="1418" w:hanging="1418"/>
        <w:jc w:val="both"/>
      </w:pPr>
      <w:r w:rsidRPr="00B767C5">
        <w:t>Critère n°1 :</w:t>
      </w:r>
      <w:r w:rsidR="005D3EE7">
        <w:t xml:space="preserve"> </w:t>
      </w:r>
      <w:r w:rsidR="00EF0351">
        <w:t xml:space="preserve">Compréhension des enjeux et démonstration de </w:t>
      </w:r>
      <w:proofErr w:type="gramStart"/>
      <w:r w:rsidR="00EF0351">
        <w:t xml:space="preserve">l’expertise </w:t>
      </w:r>
      <w:r w:rsidR="005D3EE7">
        <w:t xml:space="preserve"> </w:t>
      </w:r>
      <w:r w:rsidR="00B767C5">
        <w:t>–</w:t>
      </w:r>
      <w:proofErr w:type="gramEnd"/>
      <w:r w:rsidR="00B767C5">
        <w:t xml:space="preserve"> </w:t>
      </w:r>
      <w:r w:rsidR="00EF0351">
        <w:t>35</w:t>
      </w:r>
      <w:r w:rsidR="00B767C5">
        <w:t xml:space="preserve"> </w:t>
      </w:r>
      <w:r w:rsidRPr="00B767C5">
        <w:t>points</w:t>
      </w:r>
    </w:p>
    <w:p w14:paraId="5B78FFBA" w14:textId="67DA9D85" w:rsidR="00274FCB" w:rsidRDefault="00B03433" w:rsidP="0063787F">
      <w:pPr>
        <w:rPr>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58B2DF05" w14:textId="1C0E059A" w:rsidR="00274FCB" w:rsidRPr="0063787F" w:rsidRDefault="00274FCB" w:rsidP="0063787F">
      <w:pPr>
        <w:pStyle w:val="Titre2"/>
        <w:numPr>
          <w:ilvl w:val="0"/>
          <w:numId w:val="0"/>
        </w:numPr>
        <w:ind w:left="576" w:hanging="576"/>
        <w:jc w:val="both"/>
        <w:rPr>
          <w:sz w:val="24"/>
        </w:rPr>
      </w:pPr>
      <w:r w:rsidRPr="0063787F">
        <w:rPr>
          <w:sz w:val="24"/>
        </w:rPr>
        <w:t xml:space="preserve">Sous-critère 1 : </w:t>
      </w:r>
      <w:r w:rsidR="00EF0351">
        <w:rPr>
          <w:sz w:val="24"/>
        </w:rPr>
        <w:t>Compréhension générale des enjeux</w:t>
      </w:r>
      <w:r w:rsidRPr="0063787F">
        <w:rPr>
          <w:sz w:val="24"/>
        </w:rPr>
        <w:t xml:space="preserve"> </w:t>
      </w:r>
      <w:r w:rsidR="0063787F">
        <w:rPr>
          <w:sz w:val="24"/>
        </w:rPr>
        <w:t xml:space="preserve">– </w:t>
      </w:r>
      <w:r w:rsidR="00EF0351">
        <w:rPr>
          <w:sz w:val="24"/>
        </w:rPr>
        <w:t>5</w:t>
      </w:r>
      <w:r w:rsidR="0063787F">
        <w:rPr>
          <w:sz w:val="24"/>
        </w:rPr>
        <w:t xml:space="preserve"> points</w:t>
      </w:r>
    </w:p>
    <w:p w14:paraId="425E60A8" w14:textId="77777777" w:rsidR="00EF0351" w:rsidRDefault="00EF0351" w:rsidP="0063787F">
      <w:pPr>
        <w:rPr>
          <w:szCs w:val="22"/>
        </w:rPr>
      </w:pPr>
      <w:r w:rsidRPr="00EF0351">
        <w:rPr>
          <w:i/>
          <w:sz w:val="20"/>
          <w:szCs w:val="22"/>
        </w:rPr>
        <w:t>La compréhension générale des enjeux sera appréciée au regard de la reformulation des besoins et des objectifs de l’Autorité pour cet accord-cadre et de l’analyse qui en est présentée par le candidat au sein de son mémoire technique</w:t>
      </w:r>
      <w:r w:rsidRPr="009A60F8">
        <w:rPr>
          <w:szCs w:val="22"/>
        </w:rPr>
        <w:t>.</w:t>
      </w:r>
    </w:p>
    <w:p w14:paraId="66A54B11" w14:textId="332B302E" w:rsidR="00EF0351" w:rsidRDefault="0063787F" w:rsidP="00EF035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2B4574" w14:textId="73FE1858" w:rsidR="00EF0351" w:rsidRDefault="00325899" w:rsidP="00325899">
      <w:pPr>
        <w:pStyle w:val="Titre2"/>
        <w:numPr>
          <w:ilvl w:val="0"/>
          <w:numId w:val="0"/>
        </w:numPr>
        <w:rPr>
          <w:sz w:val="24"/>
        </w:rPr>
      </w:pPr>
      <w:r w:rsidRPr="00325899">
        <w:rPr>
          <w:sz w:val="24"/>
        </w:rPr>
        <w:t xml:space="preserve">Sous-critère 2 : </w:t>
      </w:r>
      <w:r>
        <w:rPr>
          <w:sz w:val="24"/>
        </w:rPr>
        <w:t>Connaissance du secteur des télécommunications fixes et des cadres applicables – 15 points</w:t>
      </w:r>
    </w:p>
    <w:p w14:paraId="45AD1F4D" w14:textId="0C6FED07" w:rsidR="00325899" w:rsidRDefault="00325899" w:rsidP="00325899">
      <w:pPr>
        <w:rPr>
          <w:i/>
          <w:sz w:val="20"/>
          <w:szCs w:val="22"/>
        </w:rPr>
      </w:pPr>
      <w:r w:rsidRPr="00325899">
        <w:rPr>
          <w:i/>
          <w:sz w:val="20"/>
          <w:szCs w:val="22"/>
        </w:rPr>
        <w:t>L’expertise sectorielle du candidat sera appréciée au regard des détails apportés au sein du mémoire technique sur la connaissance du secteur ainsi que des cadres et des enjeux règlementaires dans lesquels s’effectueront les prestations.</w:t>
      </w:r>
    </w:p>
    <w:p w14:paraId="3CE4E828" w14:textId="6D27AD07" w:rsidR="00325899" w:rsidRPr="00284924" w:rsidRDefault="00325899" w:rsidP="00325899">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587A9A9" w14:textId="68C1B3CC" w:rsidR="00325899" w:rsidRDefault="00325899" w:rsidP="00325899">
      <w:pPr>
        <w:pStyle w:val="Titre2"/>
        <w:numPr>
          <w:ilvl w:val="0"/>
          <w:numId w:val="0"/>
        </w:numPr>
        <w:rPr>
          <w:sz w:val="24"/>
        </w:rPr>
      </w:pPr>
      <w:r w:rsidRPr="00325899">
        <w:rPr>
          <w:sz w:val="24"/>
        </w:rPr>
        <w:t xml:space="preserve">Sous-critère 3 : </w:t>
      </w:r>
      <w:r>
        <w:rPr>
          <w:sz w:val="24"/>
        </w:rPr>
        <w:t>Expérience et expertise de l’équipe pressentie en matière d’audit SI et de régulation de l’accès aux réseaux fixes en France – 15 points</w:t>
      </w:r>
    </w:p>
    <w:p w14:paraId="40D6FAF2" w14:textId="77777777" w:rsidR="00325899" w:rsidRPr="00325899" w:rsidRDefault="00325899" w:rsidP="00325899">
      <w:pPr>
        <w:rPr>
          <w:i/>
          <w:sz w:val="20"/>
          <w:szCs w:val="22"/>
        </w:rPr>
      </w:pPr>
      <w:r w:rsidRPr="00325899">
        <w:rPr>
          <w:i/>
          <w:sz w:val="20"/>
          <w:szCs w:val="22"/>
        </w:rPr>
        <w:t>L’expertise en matière d’audit SI et de régulation de l’accès aux réseaux fixes en France du candidat sera appréciée au regard :</w:t>
      </w:r>
    </w:p>
    <w:p w14:paraId="1265FA9F" w14:textId="77777777" w:rsidR="00325899" w:rsidRPr="00826E4D" w:rsidRDefault="00325899" w:rsidP="00826E4D">
      <w:pPr>
        <w:rPr>
          <w:i/>
          <w:sz w:val="20"/>
          <w:szCs w:val="22"/>
        </w:rPr>
      </w:pPr>
      <w:r w:rsidRPr="00826E4D">
        <w:rPr>
          <w:i/>
          <w:sz w:val="20"/>
          <w:szCs w:val="22"/>
        </w:rPr>
        <w:lastRenderedPageBreak/>
        <w:t>-</w:t>
      </w:r>
      <w:r w:rsidRPr="00826E4D">
        <w:rPr>
          <w:i/>
          <w:sz w:val="20"/>
          <w:szCs w:val="22"/>
        </w:rPr>
        <w:tab/>
        <w:t xml:space="preserve">Des curriculum vitae des consultants susceptibles d’intervenir sur les différents marchés subséquents (et possibles partenaires experts), en particulier ceux </w:t>
      </w:r>
      <w:proofErr w:type="gramStart"/>
      <w:r w:rsidRPr="00826E4D">
        <w:rPr>
          <w:i/>
          <w:sz w:val="20"/>
          <w:szCs w:val="22"/>
        </w:rPr>
        <w:t>des consultants sénior</w:t>
      </w:r>
      <w:proofErr w:type="gramEnd"/>
      <w:r w:rsidRPr="00826E4D">
        <w:rPr>
          <w:i/>
          <w:sz w:val="20"/>
          <w:szCs w:val="22"/>
        </w:rPr>
        <w:t> ;</w:t>
      </w:r>
    </w:p>
    <w:p w14:paraId="6D4C5E08" w14:textId="77777777" w:rsidR="00325899" w:rsidRPr="00826E4D" w:rsidRDefault="00325899" w:rsidP="00826E4D">
      <w:pPr>
        <w:rPr>
          <w:i/>
          <w:sz w:val="20"/>
          <w:szCs w:val="22"/>
        </w:rPr>
      </w:pPr>
      <w:r w:rsidRPr="00826E4D">
        <w:rPr>
          <w:i/>
          <w:sz w:val="20"/>
          <w:szCs w:val="22"/>
        </w:rPr>
        <w:t>-</w:t>
      </w:r>
      <w:r w:rsidRPr="00826E4D">
        <w:rPr>
          <w:i/>
          <w:sz w:val="20"/>
          <w:szCs w:val="22"/>
        </w:rPr>
        <w:tab/>
        <w:t>De références, de publications, de contributions, d’études similaires, d’expériences et de compétences justifiant l’expertise des consultants susceptibles d’intervenir sur les différents marchés subséquents, relatives à des audits SI d’opérateurs de télécommunications au regard d’enjeux de régulation de l’accès ;</w:t>
      </w:r>
    </w:p>
    <w:p w14:paraId="7EBA4528" w14:textId="0A155D6D" w:rsidR="00325899" w:rsidRDefault="00325899" w:rsidP="00325899">
      <w:pPr>
        <w:rPr>
          <w:i/>
          <w:sz w:val="20"/>
          <w:szCs w:val="22"/>
        </w:rPr>
      </w:pPr>
      <w:r w:rsidRPr="00325899">
        <w:rPr>
          <w:i/>
          <w:sz w:val="20"/>
          <w:szCs w:val="22"/>
        </w:rPr>
        <w:t>-</w:t>
      </w:r>
      <w:r w:rsidRPr="00325899">
        <w:rPr>
          <w:i/>
          <w:sz w:val="20"/>
          <w:szCs w:val="22"/>
        </w:rPr>
        <w:tab/>
        <w:t>Des garanties apportées pour maintenir les profils séniors tout au long du marché.</w:t>
      </w:r>
    </w:p>
    <w:p w14:paraId="70ADDDE9" w14:textId="6D48B066" w:rsidR="00325899" w:rsidRDefault="00325899" w:rsidP="00325899">
      <w:pPr>
        <w:rPr>
          <w:i/>
          <w:sz w:val="20"/>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06193A" w14:textId="05ED03F3" w:rsidR="008C5971" w:rsidRDefault="008C5971" w:rsidP="008C5971">
      <w:pPr>
        <w:pStyle w:val="Titre1"/>
        <w:numPr>
          <w:ilvl w:val="0"/>
          <w:numId w:val="0"/>
        </w:numPr>
      </w:pPr>
      <w:r>
        <w:t xml:space="preserve">Critère n°2 : </w:t>
      </w:r>
      <w:r w:rsidRPr="008C5971">
        <w:t>Pertinence de la méthodologie et de l’organisation</w:t>
      </w:r>
      <w:r>
        <w:t xml:space="preserve"> – 30 points</w:t>
      </w:r>
    </w:p>
    <w:p w14:paraId="70BD2FF4" w14:textId="0FFD036F" w:rsidR="008C5971" w:rsidRDefault="008C5971" w:rsidP="008C5971">
      <w:pPr>
        <w:rPr>
          <w:i/>
          <w:sz w:val="20"/>
          <w:szCs w:val="22"/>
        </w:rPr>
      </w:pPr>
      <w:r w:rsidRPr="00D05F1C">
        <w:rPr>
          <w:i/>
          <w:sz w:val="20"/>
          <w:szCs w:val="22"/>
        </w:rPr>
        <w:t>Ce critère est analysé sur la base de l’évaluation des sous-critères suivants, pondérés comme suit :</w:t>
      </w:r>
    </w:p>
    <w:p w14:paraId="78796E12" w14:textId="3457E37A" w:rsidR="008C5971" w:rsidRDefault="008C5971" w:rsidP="008C5971">
      <w:pPr>
        <w:pStyle w:val="Titre2"/>
        <w:numPr>
          <w:ilvl w:val="0"/>
          <w:numId w:val="0"/>
        </w:numPr>
        <w:ind w:left="1702" w:hanging="1702"/>
        <w:rPr>
          <w:sz w:val="24"/>
          <w:szCs w:val="22"/>
        </w:rPr>
      </w:pPr>
      <w:r w:rsidRPr="008C5971">
        <w:rPr>
          <w:sz w:val="24"/>
        </w:rPr>
        <w:t xml:space="preserve">Sous-critère 1 : </w:t>
      </w:r>
      <w:r w:rsidRPr="008C5971">
        <w:rPr>
          <w:sz w:val="24"/>
          <w:szCs w:val="22"/>
        </w:rPr>
        <w:t>Méthodologie proposée pour la réalisation des audits SI</w:t>
      </w:r>
      <w:r>
        <w:rPr>
          <w:sz w:val="24"/>
          <w:szCs w:val="22"/>
        </w:rPr>
        <w:t xml:space="preserve"> – 15 points</w:t>
      </w:r>
    </w:p>
    <w:p w14:paraId="2ABE7DAA" w14:textId="67D8AB12" w:rsidR="008C5971" w:rsidRDefault="008A4E33" w:rsidP="008C5971">
      <w:pPr>
        <w:rPr>
          <w:i/>
          <w:sz w:val="20"/>
          <w:szCs w:val="22"/>
        </w:rPr>
      </w:pPr>
      <w:r w:rsidRPr="008A4E33">
        <w:rPr>
          <w:i/>
          <w:sz w:val="20"/>
          <w:szCs w:val="22"/>
        </w:rPr>
        <w:t xml:space="preserve">La méthodologie proposée par le candidat, au sein de son mémoire technique, pour réaliser un audit SI sera appréciée au regard d’une présentation détaillée d’une approche type (pour une mission « simple » et une mission « complexe » telles que définies à l’article 2.2.1 du CCTP) avec les prérequis, le phasage des travaux, durées moyennes estimées pour les différents types d’audits, les jalons et les livrables. Cette méthodologie devra comporter </w:t>
      </w:r>
      <w:proofErr w:type="gramStart"/>
      <w:r w:rsidRPr="008A4E33">
        <w:rPr>
          <w:i/>
          <w:sz w:val="20"/>
          <w:szCs w:val="22"/>
        </w:rPr>
        <w:t>a</w:t>
      </w:r>
      <w:proofErr w:type="gramEnd"/>
      <w:r w:rsidRPr="008A4E33">
        <w:rPr>
          <w:i/>
          <w:sz w:val="20"/>
          <w:szCs w:val="22"/>
        </w:rPr>
        <w:t xml:space="preserve"> minima les étapes décrites à l’article 2.2.2 du CCTP.</w:t>
      </w:r>
    </w:p>
    <w:p w14:paraId="61E65739" w14:textId="535B368D" w:rsidR="008A4E33" w:rsidRDefault="008A4E33" w:rsidP="008A4E33">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AEE5B3" w14:textId="6B56A82E" w:rsidR="008A4E33" w:rsidRDefault="008A4E33" w:rsidP="008A4E33">
      <w:pPr>
        <w:pStyle w:val="Titre2"/>
        <w:numPr>
          <w:ilvl w:val="0"/>
          <w:numId w:val="0"/>
        </w:numPr>
        <w:rPr>
          <w:sz w:val="24"/>
          <w:szCs w:val="22"/>
        </w:rPr>
      </w:pPr>
      <w:r w:rsidRPr="008A4E33">
        <w:rPr>
          <w:sz w:val="24"/>
        </w:rPr>
        <w:t xml:space="preserve">Sous-critère 2 : </w:t>
      </w:r>
      <w:r w:rsidRPr="008A4E33">
        <w:rPr>
          <w:sz w:val="24"/>
          <w:szCs w:val="22"/>
        </w:rPr>
        <w:t>Organisation pour le déroulement de la mission d’un marché subséquent</w:t>
      </w:r>
      <w:r>
        <w:rPr>
          <w:sz w:val="24"/>
          <w:szCs w:val="22"/>
        </w:rPr>
        <w:t xml:space="preserve"> – 15 points</w:t>
      </w:r>
    </w:p>
    <w:p w14:paraId="4162846F" w14:textId="77777777" w:rsidR="008A4E33" w:rsidRPr="008A4E33" w:rsidRDefault="008A4E33" w:rsidP="003766C1">
      <w:pPr>
        <w:rPr>
          <w:i/>
          <w:sz w:val="20"/>
          <w:szCs w:val="22"/>
        </w:rPr>
      </w:pPr>
      <w:r w:rsidRPr="008A4E33">
        <w:rPr>
          <w:i/>
          <w:sz w:val="20"/>
          <w:szCs w:val="22"/>
        </w:rPr>
        <w:t xml:space="preserve">L’organisation pour le déroulement de la mission d’un marché subséquent sera appréciée au regard d’une présentation des principes sur lesquels le candidat se fonde afin de dimensionner, pour chaque futur marché subséquent, l’équipe, les modalités de suivi de l’avancement de la mission ainsi que les </w:t>
      </w:r>
      <w:r w:rsidRPr="008A4E33">
        <w:rPr>
          <w:b/>
          <w:i/>
          <w:sz w:val="20"/>
          <w:szCs w:val="22"/>
        </w:rPr>
        <w:t>mesures permettant de garantir le respect des délais.</w:t>
      </w:r>
      <w:r w:rsidRPr="008A4E33">
        <w:rPr>
          <w:i/>
          <w:sz w:val="20"/>
          <w:szCs w:val="22"/>
        </w:rPr>
        <w:t xml:space="preserve"> </w:t>
      </w:r>
    </w:p>
    <w:p w14:paraId="7B7F79E7" w14:textId="77777777" w:rsidR="008A4E33" w:rsidRPr="008A4E33" w:rsidRDefault="008A4E33" w:rsidP="003766C1">
      <w:pPr>
        <w:rPr>
          <w:i/>
          <w:sz w:val="20"/>
          <w:szCs w:val="22"/>
        </w:rPr>
      </w:pPr>
      <w:r w:rsidRPr="008A4E33">
        <w:rPr>
          <w:i/>
          <w:sz w:val="20"/>
          <w:szCs w:val="22"/>
        </w:rPr>
        <w:t>De même que précédemment, cette organisation sera présentée pour une mission « simple » et une mission « complexe » telles que définies à l’article 2.2.1 du CCTP.</w:t>
      </w:r>
    </w:p>
    <w:p w14:paraId="767ED109" w14:textId="0A8AEC75" w:rsidR="008A4E33" w:rsidRDefault="008A4E33" w:rsidP="008A4E33">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08DDFC" w14:textId="4104D4D0" w:rsidR="008E724B" w:rsidRDefault="008E724B" w:rsidP="008E724B">
      <w:pPr>
        <w:pStyle w:val="Titre1"/>
        <w:numPr>
          <w:ilvl w:val="0"/>
          <w:numId w:val="0"/>
        </w:numPr>
      </w:pPr>
      <w:r>
        <w:lastRenderedPageBreak/>
        <w:t>Critère n°3 : Environnement – 5 points</w:t>
      </w:r>
    </w:p>
    <w:p w14:paraId="74F1E993" w14:textId="77777777" w:rsidR="008E724B" w:rsidRPr="008E724B" w:rsidRDefault="008E724B" w:rsidP="008E724B">
      <w:pPr>
        <w:rPr>
          <w:i/>
          <w:sz w:val="20"/>
        </w:rPr>
      </w:pPr>
      <w:r w:rsidRPr="008E724B">
        <w:rPr>
          <w:i/>
          <w:sz w:val="20"/>
        </w:rPr>
        <w:t xml:space="preserve">Ce critère évalue la description des mesures mises en œuvre par le candidat pour répondre aux enjeux environnementaux et réduire l’empreinte carbone </w:t>
      </w:r>
      <w:r w:rsidRPr="008E724B">
        <w:rPr>
          <w:b/>
          <w:i/>
          <w:sz w:val="20"/>
          <w:u w:val="single"/>
        </w:rPr>
        <w:t>dans le cadre de l’exécution des prestations</w:t>
      </w:r>
      <w:r w:rsidRPr="008E724B">
        <w:rPr>
          <w:i/>
          <w:sz w:val="20"/>
        </w:rPr>
        <w:t xml:space="preserve"> du marché.</w:t>
      </w:r>
    </w:p>
    <w:p w14:paraId="7164F46B" w14:textId="6D916908" w:rsidR="008E724B" w:rsidRDefault="008E724B" w:rsidP="008E724B">
      <w:pPr>
        <w:rPr>
          <w:i/>
          <w:sz w:val="20"/>
        </w:rPr>
      </w:pPr>
      <w:r w:rsidRPr="008E724B">
        <w:rPr>
          <w:i/>
          <w:sz w:val="20"/>
        </w:rPr>
        <w:t xml:space="preserve">Une importance particulière sera portée à la capacité du candidat à </w:t>
      </w:r>
      <w:r w:rsidRPr="008E724B">
        <w:rPr>
          <w:b/>
          <w:i/>
          <w:sz w:val="20"/>
          <w:u w:val="single"/>
        </w:rPr>
        <w:t>circonstancier au présent marché</w:t>
      </w:r>
      <w:r w:rsidRPr="008E724B">
        <w:rPr>
          <w:i/>
          <w:sz w:val="20"/>
        </w:rPr>
        <w:t xml:space="preserve"> : </w:t>
      </w:r>
      <w:r w:rsidRPr="008E724B">
        <w:rPr>
          <w:i/>
          <w:sz w:val="20"/>
          <w:u w:val="single"/>
        </w:rPr>
        <w:t>l’Autorité ne prendra pas en compte les mesures générales, telles que la politique RSE de l’entreprise</w:t>
      </w:r>
      <w:r w:rsidRPr="008E724B">
        <w:rPr>
          <w:i/>
          <w:sz w:val="20"/>
        </w:rPr>
        <w:t>, et qui n’ont pas de mise en application pour le marché.</w:t>
      </w:r>
    </w:p>
    <w:p w14:paraId="7E775914" w14:textId="29D695C0" w:rsidR="008E724B" w:rsidRPr="008E724B" w:rsidRDefault="008E724B" w:rsidP="008E724B">
      <w:pPr>
        <w:rPr>
          <w:i/>
          <w:sz w:val="20"/>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ED383" w14:textId="7CC75AC9" w:rsidR="00EC001E" w:rsidRDefault="00EC001E" w:rsidP="00EC001E">
      <w:pPr>
        <w:pStyle w:val="Titre1"/>
        <w:numPr>
          <w:ilvl w:val="0"/>
          <w:numId w:val="0"/>
        </w:numPr>
        <w:jc w:val="both"/>
      </w:pPr>
      <w:r w:rsidRPr="00274FCB">
        <w:t>Critère n°</w:t>
      </w:r>
      <w:r w:rsidR="00B558AF">
        <w:t>4</w:t>
      </w:r>
      <w:r w:rsidRPr="00274FCB">
        <w:t xml:space="preserve"> : Prix</w:t>
      </w:r>
      <w:r>
        <w:t xml:space="preserve"> – </w:t>
      </w:r>
      <w:r w:rsidR="008E724B">
        <w:t>30</w:t>
      </w:r>
      <w:r w:rsidRPr="00274FCB">
        <w:t xml:space="preserve"> points</w:t>
      </w:r>
    </w:p>
    <w:p w14:paraId="3145E73B" w14:textId="661C49E3" w:rsidR="008E724B" w:rsidRPr="008E724B" w:rsidRDefault="008E724B" w:rsidP="008E724B">
      <w:pPr>
        <w:rPr>
          <w:rFonts w:ascii="Calibri" w:hAnsi="Calibri" w:cs="Calibri"/>
          <w:i/>
          <w:sz w:val="20"/>
          <w:szCs w:val="22"/>
        </w:rPr>
      </w:pPr>
      <w:r w:rsidRPr="008E724B">
        <w:rPr>
          <w:rFonts w:ascii="Calibri" w:hAnsi="Calibri" w:cs="Calibri"/>
          <w:i/>
          <w:sz w:val="20"/>
          <w:szCs w:val="22"/>
        </w:rPr>
        <w:t>Le prix des prestations est analysé au regard du devis quantitatif estimatif (DQE) remis par les candidats.</w:t>
      </w:r>
    </w:p>
    <w:p w14:paraId="4A7EAB36" w14:textId="083D6C08" w:rsidR="008E724B" w:rsidRPr="008E724B" w:rsidRDefault="008E724B" w:rsidP="008E724B">
      <w:pPr>
        <w:rPr>
          <w:rFonts w:ascii="Calibri" w:hAnsi="Calibri" w:cs="Calibri"/>
          <w:i/>
          <w:sz w:val="20"/>
          <w:szCs w:val="22"/>
        </w:rPr>
      </w:pPr>
      <w:r w:rsidRPr="008E724B">
        <w:rPr>
          <w:rFonts w:ascii="Calibri" w:hAnsi="Calibri" w:cs="Calibri"/>
          <w:i/>
          <w:sz w:val="20"/>
          <w:szCs w:val="22"/>
        </w:rPr>
        <w:t>Dans la mesure où l’analyse porte sur le prix de règlement, dans le cas où le candidat serait exonéré de TVA, mais que l’Autorité serait amenée à verser la TVA pour la prestation, le prix retenu pour la note sera celui du DQE incrémenté de la TVA qui sera payée par l’Arcep. Le taux de la TVA pour les prestations prévues au sein du marché est de 20%.</w:t>
      </w:r>
    </w:p>
    <w:p w14:paraId="23E86D8A" w14:textId="4176DE5D" w:rsidR="008E724B" w:rsidRPr="008E724B" w:rsidRDefault="008E724B" w:rsidP="008E724B">
      <w:pPr>
        <w:rPr>
          <w:rFonts w:ascii="Calibri" w:hAnsi="Calibri" w:cs="Calibri"/>
          <w:i/>
          <w:sz w:val="20"/>
          <w:szCs w:val="22"/>
        </w:rPr>
      </w:pPr>
      <w:r w:rsidRPr="008E724B">
        <w:rPr>
          <w:rFonts w:ascii="Calibri" w:hAnsi="Calibri" w:cs="Calibri"/>
          <w:i/>
          <w:sz w:val="20"/>
          <w:szCs w:val="22"/>
        </w:rPr>
        <w:t xml:space="preserve">La note de 30/30 est attribuée à l’offre la moins </w:t>
      </w:r>
      <w:proofErr w:type="spellStart"/>
      <w:r w:rsidRPr="008E724B">
        <w:rPr>
          <w:rFonts w:ascii="Calibri" w:hAnsi="Calibri" w:cs="Calibri"/>
          <w:i/>
          <w:sz w:val="20"/>
          <w:szCs w:val="22"/>
        </w:rPr>
        <w:t>disante</w:t>
      </w:r>
      <w:proofErr w:type="spellEnd"/>
      <w:r w:rsidRPr="008E724B">
        <w:rPr>
          <w:rFonts w:ascii="Calibri" w:hAnsi="Calibri" w:cs="Calibri"/>
          <w:i/>
          <w:sz w:val="20"/>
          <w:szCs w:val="22"/>
        </w:rPr>
        <w:t>.</w:t>
      </w:r>
    </w:p>
    <w:p w14:paraId="0C1ED09E" w14:textId="16226B30" w:rsidR="008E724B" w:rsidRPr="008E724B" w:rsidRDefault="008E724B" w:rsidP="008E724B">
      <w:pPr>
        <w:rPr>
          <w:rFonts w:ascii="Calibri" w:hAnsi="Calibri" w:cs="Calibri"/>
          <w:i/>
          <w:sz w:val="20"/>
          <w:szCs w:val="22"/>
        </w:rPr>
      </w:pPr>
      <w:r w:rsidRPr="008E724B">
        <w:rPr>
          <w:rFonts w:ascii="Calibri" w:hAnsi="Calibri" w:cs="Calibri"/>
          <w:i/>
          <w:sz w:val="20"/>
          <w:szCs w:val="22"/>
        </w:rPr>
        <w:t>La note des autres candidats est calculée selon la formule suivante :</w:t>
      </w:r>
    </w:p>
    <w:p w14:paraId="72CCAE41" w14:textId="2625E081" w:rsidR="008E724B" w:rsidRPr="00284924" w:rsidRDefault="008E724B" w:rsidP="00284924">
      <w:pPr>
        <w:jc w:val="center"/>
        <w:rPr>
          <w:rFonts w:ascii="Calibri" w:hAnsi="Calibri" w:cs="Calibri"/>
          <w:i/>
          <w:sz w:val="20"/>
          <w:szCs w:val="22"/>
        </w:rPr>
      </w:pPr>
      <w:r w:rsidRPr="008E724B">
        <w:rPr>
          <w:rFonts w:ascii="Calibri" w:hAnsi="Calibri" w:cs="Calibri"/>
          <w:i/>
          <w:sz w:val="20"/>
          <w:szCs w:val="22"/>
        </w:rPr>
        <w:t xml:space="preserve">(Prix de l’offre la moins </w:t>
      </w:r>
      <w:proofErr w:type="spellStart"/>
      <w:r w:rsidRPr="008E724B">
        <w:rPr>
          <w:rFonts w:ascii="Calibri" w:hAnsi="Calibri" w:cs="Calibri"/>
          <w:i/>
          <w:sz w:val="20"/>
          <w:szCs w:val="22"/>
        </w:rPr>
        <w:t>disante</w:t>
      </w:r>
      <w:proofErr w:type="spellEnd"/>
      <w:r w:rsidRPr="008E724B">
        <w:rPr>
          <w:rFonts w:ascii="Calibri" w:hAnsi="Calibri" w:cs="Calibri"/>
          <w:i/>
          <w:sz w:val="20"/>
          <w:szCs w:val="22"/>
        </w:rPr>
        <w:t xml:space="preserve"> TTC / Prix de l’offre évaluée TTC) x 30</w:t>
      </w:r>
    </w:p>
    <w:sectPr w:rsidR="008E724B" w:rsidRPr="00284924"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fldSimple w:instr=" NUMPAGES   \* MERGEFORMAT ">
      <w:r>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2278"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030A2"/>
    <w:rsid w:val="001132B3"/>
    <w:rsid w:val="00114B97"/>
    <w:rsid w:val="00125502"/>
    <w:rsid w:val="00125A37"/>
    <w:rsid w:val="0013574E"/>
    <w:rsid w:val="001365FD"/>
    <w:rsid w:val="001524E9"/>
    <w:rsid w:val="0015601B"/>
    <w:rsid w:val="00162A83"/>
    <w:rsid w:val="001709CE"/>
    <w:rsid w:val="0017759F"/>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74FCB"/>
    <w:rsid w:val="00284924"/>
    <w:rsid w:val="0028555C"/>
    <w:rsid w:val="00291745"/>
    <w:rsid w:val="002950DC"/>
    <w:rsid w:val="002A015B"/>
    <w:rsid w:val="002A7B41"/>
    <w:rsid w:val="002B0AFA"/>
    <w:rsid w:val="002B7170"/>
    <w:rsid w:val="002C0385"/>
    <w:rsid w:val="002E4781"/>
    <w:rsid w:val="002E5B68"/>
    <w:rsid w:val="002E75B9"/>
    <w:rsid w:val="0030467D"/>
    <w:rsid w:val="00304E73"/>
    <w:rsid w:val="00310E33"/>
    <w:rsid w:val="00312EA4"/>
    <w:rsid w:val="00317697"/>
    <w:rsid w:val="0032186A"/>
    <w:rsid w:val="00325899"/>
    <w:rsid w:val="00332005"/>
    <w:rsid w:val="00333424"/>
    <w:rsid w:val="003338E3"/>
    <w:rsid w:val="00334444"/>
    <w:rsid w:val="00337F00"/>
    <w:rsid w:val="00343113"/>
    <w:rsid w:val="00345AF1"/>
    <w:rsid w:val="00350ED6"/>
    <w:rsid w:val="003763E8"/>
    <w:rsid w:val="003766C1"/>
    <w:rsid w:val="00377E33"/>
    <w:rsid w:val="00385DBE"/>
    <w:rsid w:val="00395657"/>
    <w:rsid w:val="00396A66"/>
    <w:rsid w:val="00396C57"/>
    <w:rsid w:val="003A2A08"/>
    <w:rsid w:val="003B42F8"/>
    <w:rsid w:val="003B7A57"/>
    <w:rsid w:val="003B7E1E"/>
    <w:rsid w:val="003C5BFD"/>
    <w:rsid w:val="003D74F8"/>
    <w:rsid w:val="003E00B8"/>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B4F53"/>
    <w:rsid w:val="004B62E8"/>
    <w:rsid w:val="004C108F"/>
    <w:rsid w:val="004C11D1"/>
    <w:rsid w:val="004C797C"/>
    <w:rsid w:val="004D719B"/>
    <w:rsid w:val="004E25BA"/>
    <w:rsid w:val="004E3218"/>
    <w:rsid w:val="004F4050"/>
    <w:rsid w:val="00505A03"/>
    <w:rsid w:val="00505D74"/>
    <w:rsid w:val="00506D77"/>
    <w:rsid w:val="00510BD9"/>
    <w:rsid w:val="00512382"/>
    <w:rsid w:val="00513ABC"/>
    <w:rsid w:val="005168C8"/>
    <w:rsid w:val="005201E4"/>
    <w:rsid w:val="00522A8C"/>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E31CE"/>
    <w:rsid w:val="006E32B6"/>
    <w:rsid w:val="006F570A"/>
    <w:rsid w:val="007011CC"/>
    <w:rsid w:val="00721E26"/>
    <w:rsid w:val="0073116F"/>
    <w:rsid w:val="00733A89"/>
    <w:rsid w:val="007439B6"/>
    <w:rsid w:val="00757FE0"/>
    <w:rsid w:val="00765201"/>
    <w:rsid w:val="00771A3F"/>
    <w:rsid w:val="007727D6"/>
    <w:rsid w:val="00783AD0"/>
    <w:rsid w:val="00785A57"/>
    <w:rsid w:val="007A2C95"/>
    <w:rsid w:val="007A3594"/>
    <w:rsid w:val="007A378F"/>
    <w:rsid w:val="007A3965"/>
    <w:rsid w:val="007A5A9B"/>
    <w:rsid w:val="007B0A86"/>
    <w:rsid w:val="007B1298"/>
    <w:rsid w:val="007C147E"/>
    <w:rsid w:val="007C4732"/>
    <w:rsid w:val="007C57FC"/>
    <w:rsid w:val="007C79E9"/>
    <w:rsid w:val="007D494B"/>
    <w:rsid w:val="007E6BF9"/>
    <w:rsid w:val="007F3710"/>
    <w:rsid w:val="008131FE"/>
    <w:rsid w:val="0081432F"/>
    <w:rsid w:val="008160DE"/>
    <w:rsid w:val="00817EA8"/>
    <w:rsid w:val="00820704"/>
    <w:rsid w:val="00823C5F"/>
    <w:rsid w:val="00826E4D"/>
    <w:rsid w:val="00830277"/>
    <w:rsid w:val="008312F9"/>
    <w:rsid w:val="00851CC9"/>
    <w:rsid w:val="00851DE8"/>
    <w:rsid w:val="00854363"/>
    <w:rsid w:val="00855091"/>
    <w:rsid w:val="00865460"/>
    <w:rsid w:val="00867036"/>
    <w:rsid w:val="0087330D"/>
    <w:rsid w:val="00875A9D"/>
    <w:rsid w:val="0089715B"/>
    <w:rsid w:val="0089748F"/>
    <w:rsid w:val="008A1287"/>
    <w:rsid w:val="008A3D3E"/>
    <w:rsid w:val="008A4E33"/>
    <w:rsid w:val="008B2743"/>
    <w:rsid w:val="008B6B42"/>
    <w:rsid w:val="008C21DC"/>
    <w:rsid w:val="008C5971"/>
    <w:rsid w:val="008C6EBD"/>
    <w:rsid w:val="008D5B6F"/>
    <w:rsid w:val="008E3F15"/>
    <w:rsid w:val="008E724B"/>
    <w:rsid w:val="009025C9"/>
    <w:rsid w:val="00904850"/>
    <w:rsid w:val="00911277"/>
    <w:rsid w:val="009162B0"/>
    <w:rsid w:val="00916895"/>
    <w:rsid w:val="0091703F"/>
    <w:rsid w:val="0092215B"/>
    <w:rsid w:val="00922EFE"/>
    <w:rsid w:val="00926274"/>
    <w:rsid w:val="009263DF"/>
    <w:rsid w:val="00930CE1"/>
    <w:rsid w:val="00941B2B"/>
    <w:rsid w:val="0094607C"/>
    <w:rsid w:val="00954728"/>
    <w:rsid w:val="00956944"/>
    <w:rsid w:val="00960D62"/>
    <w:rsid w:val="00961D4C"/>
    <w:rsid w:val="0097294F"/>
    <w:rsid w:val="0097483B"/>
    <w:rsid w:val="009753CC"/>
    <w:rsid w:val="00976924"/>
    <w:rsid w:val="00986CAF"/>
    <w:rsid w:val="0098797A"/>
    <w:rsid w:val="009908EC"/>
    <w:rsid w:val="0099365B"/>
    <w:rsid w:val="009979F8"/>
    <w:rsid w:val="009A5E96"/>
    <w:rsid w:val="009B5297"/>
    <w:rsid w:val="009C651C"/>
    <w:rsid w:val="009C758F"/>
    <w:rsid w:val="009D2423"/>
    <w:rsid w:val="009E4D43"/>
    <w:rsid w:val="009E67DF"/>
    <w:rsid w:val="009F0570"/>
    <w:rsid w:val="009F2094"/>
    <w:rsid w:val="009F321E"/>
    <w:rsid w:val="009F439C"/>
    <w:rsid w:val="00A004F9"/>
    <w:rsid w:val="00A03B28"/>
    <w:rsid w:val="00A12970"/>
    <w:rsid w:val="00A14888"/>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B006D6"/>
    <w:rsid w:val="00B01FA7"/>
    <w:rsid w:val="00B03433"/>
    <w:rsid w:val="00B1267B"/>
    <w:rsid w:val="00B1642D"/>
    <w:rsid w:val="00B1662E"/>
    <w:rsid w:val="00B34A72"/>
    <w:rsid w:val="00B445E0"/>
    <w:rsid w:val="00B44B15"/>
    <w:rsid w:val="00B44D0F"/>
    <w:rsid w:val="00B476AC"/>
    <w:rsid w:val="00B5315F"/>
    <w:rsid w:val="00B558AF"/>
    <w:rsid w:val="00B56FBE"/>
    <w:rsid w:val="00B660A7"/>
    <w:rsid w:val="00B74933"/>
    <w:rsid w:val="00B767C5"/>
    <w:rsid w:val="00B92512"/>
    <w:rsid w:val="00B94BC2"/>
    <w:rsid w:val="00BA6683"/>
    <w:rsid w:val="00BB33BE"/>
    <w:rsid w:val="00BD3F1E"/>
    <w:rsid w:val="00BE0C2B"/>
    <w:rsid w:val="00BE4B44"/>
    <w:rsid w:val="00BE4B7D"/>
    <w:rsid w:val="00BF011E"/>
    <w:rsid w:val="00C00235"/>
    <w:rsid w:val="00C0268E"/>
    <w:rsid w:val="00C07F74"/>
    <w:rsid w:val="00C14A60"/>
    <w:rsid w:val="00C22AF2"/>
    <w:rsid w:val="00C24D2B"/>
    <w:rsid w:val="00C3594D"/>
    <w:rsid w:val="00C35C90"/>
    <w:rsid w:val="00C51184"/>
    <w:rsid w:val="00C51542"/>
    <w:rsid w:val="00C516A3"/>
    <w:rsid w:val="00C55025"/>
    <w:rsid w:val="00C73701"/>
    <w:rsid w:val="00C77D92"/>
    <w:rsid w:val="00C80EC1"/>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16903"/>
    <w:rsid w:val="00D3166C"/>
    <w:rsid w:val="00D326DF"/>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66FFA"/>
    <w:rsid w:val="00E67F67"/>
    <w:rsid w:val="00E70400"/>
    <w:rsid w:val="00E737E6"/>
    <w:rsid w:val="00E80A21"/>
    <w:rsid w:val="00E812B0"/>
    <w:rsid w:val="00E83030"/>
    <w:rsid w:val="00E83D82"/>
    <w:rsid w:val="00E85E68"/>
    <w:rsid w:val="00EA5F66"/>
    <w:rsid w:val="00EA61EF"/>
    <w:rsid w:val="00EC001E"/>
    <w:rsid w:val="00EC5545"/>
    <w:rsid w:val="00EE0144"/>
    <w:rsid w:val="00EF0351"/>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C52CA3BD-0FEC-43BC-98D3-E61D8D25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1338</Words>
  <Characters>7362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2025-06-25T14:34:00Z</dcterms:created>
  <dcterms:modified xsi:type="dcterms:W3CDTF">2025-08-11T09:06:00Z</dcterms:modified>
</cp:coreProperties>
</file>